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0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9"/>
      </w:tblGrid>
      <w:tr w:rsidR="00A601D4" w:rsidRPr="00FF78B8" w:rsidTr="00A529D0">
        <w:trPr>
          <w:trHeight w:val="825"/>
        </w:trPr>
        <w:tc>
          <w:tcPr>
            <w:tcW w:w="14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FFC" w:rsidRPr="00A601D4" w:rsidRDefault="00CF4FFC" w:rsidP="00C37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B99" w:rsidRDefault="003C4B99" w:rsidP="003C4B99">
            <w:pPr>
              <w:pStyle w:val="Standard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3C4B99" w:rsidRPr="003C4B99" w:rsidRDefault="003C4B99" w:rsidP="003C4B99">
            <w:pPr>
              <w:pStyle w:val="Standard"/>
              <w:spacing w:after="0" w:line="235" w:lineRule="auto"/>
              <w:ind w:left="7937"/>
              <w:jc w:val="right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8"/>
              </w:rPr>
              <w:t>2</w:t>
            </w:r>
          </w:p>
          <w:p w:rsidR="003C4B99" w:rsidRDefault="003C4B99" w:rsidP="003C4B99">
            <w:pPr>
              <w:pStyle w:val="Standard"/>
              <w:spacing w:after="0" w:line="23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ОТЧЕТ ОБ ЭФФЕКТИВНОСТИ ДЕЯТЕЛЬНОСТИ ЗА 5 ЛЕТ</w:t>
            </w:r>
            <w:r>
              <w:rPr>
                <w:rStyle w:val="ac"/>
                <w:rFonts w:ascii="Times New Roman" w:hAnsi="Times New Roman" w:cs="Times New Roman"/>
                <w:color w:val="000000"/>
                <w:szCs w:val="28"/>
              </w:rPr>
              <w:footnoteReference w:id="1"/>
            </w:r>
          </w:p>
          <w:p w:rsidR="003C4B99" w:rsidRDefault="003C4B99" w:rsidP="003C4B99">
            <w:pPr>
              <w:pStyle w:val="Standard"/>
              <w:spacing w:after="0" w:line="235" w:lineRule="auto"/>
              <w:ind w:left="1405" w:right="1357" w:firstLine="1044"/>
              <w:rPr>
                <w:szCs w:val="28"/>
              </w:rPr>
            </w:pPr>
          </w:p>
          <w:tbl>
            <w:tblPr>
              <w:tblW w:w="1471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3343"/>
              <w:gridCol w:w="1690"/>
              <w:gridCol w:w="1135"/>
              <w:gridCol w:w="1649"/>
              <w:gridCol w:w="6443"/>
            </w:tblGrid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108" w:type="dxa"/>
                    <w:bottom w:w="55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№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 эффективности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(заполняется претендентом)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Весовой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коэффи-циент</w:t>
                  </w:r>
                  <w:proofErr w:type="spellEnd"/>
                  <w:proofErr w:type="gramEnd"/>
                </w:p>
              </w:tc>
              <w:tc>
                <w:tcPr>
                  <w:tcW w:w="1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Рассчитанный показатель (заполняется в ходе проведения конкурса)</w:t>
                  </w: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Подтверждающие документы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</w:p>
              </w:tc>
              <w:tc>
                <w:tcPr>
                  <w:tcW w:w="1426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Образовательная деятельность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3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Разработка новой ООП, в том числе аспирантуры (по ранее нереализуемому направлению подготовки)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Документальное подтверждение, заверенное Управлением образовательной деятельности (далее — УОД) / образовательной организацией: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Заверенная начальником УОД копия 1 и 2 листа ООП, служебная записка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зав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>афедрой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о составе разработчиков.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вкладу без учета внешних разработчиков.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3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Разработка нового учебного плана на основании утвержденного ООП, в том числе аспирантуры (по ранее нереализуемому направлению подготовки)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Документальное подтверждение, заверенное УОД /образовательной организацией: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Копия 1 листа учебного плана, служебная записка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зав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>афедрой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о составе разработчиков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вкладу без учета внешних разработчиков.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3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Разработка электронного учебного курса (ЭУК)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Документальное подтверждение, заверенное Центром сопровождения дистанционных технологий/ образовательной организацией.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 или с учетом вклада каждого из участников, из числа профессорско-преподавательского состава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.,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>на основании представления директора института.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3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Разработка онлайн-курса,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размещенного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на внешней площадке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Ссылка на курс на внешнем ресурсе.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 или с учетом вклада каждого из участников, из числа профессорско-преподавательского состава.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33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Разработка и реализация программ дополнительного профессионального образования – повышение квалификации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Документальное подтверждение УОД и Центра развития образования/ образовательной организации после реализации программы (выпуск не менее 20 человек).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 или с учетом вклада каждого из участников, из числа профессорско-преподавательского состава.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trHeight w:val="1604"/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Разработка и реализация программ дополнительного профессионального образования – профессиональная переподготовка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Документальное подтверждение УОД и Центра развития образования после реализации программы/ образовательной организации (выпуск не менее 20 человек).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 или с учетом вклада каждого из участников, из числа профессорско-преподавательского состава.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Разработка и реализация дополнительных общеобразовательных программ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Документальное подтверждение УОД и Центра развития образования после реализации программы / образовательной организации (выпуск не менее 20 человек).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 или с учетом вклада каждого из участников, из числа профессорско-преподавательского состава.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Повышение квалификации за отчетный период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Удостоверение о повышении квалификации с информацией о периоде обучения, объеме часов, наименовании программы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За каждое полученное удостоверение или документ о прохождении.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Профессиональная переподготовка за отчетный период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Диплом о переподготовке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информацией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о периоде обучения, объеме часов, наименовании программы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За каждый полученный диплом.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Публикация (в том числе в виде электронного ресурса):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3"/>
                    </w:numPr>
                    <w:tabs>
                      <w:tab w:val="left" w:pos="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учебника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0"/>
                    </w:numPr>
                    <w:tabs>
                      <w:tab w:val="left" w:pos="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учебного пособия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(не менее 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п.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л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>.)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за каждое учебное пособие, каждый учебник.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Ксерокопия страниц, позволяющих идентифицировать авторов, данные издателя, время издания, тип издания,</w:t>
                  </w:r>
                  <w:r>
                    <w:rPr>
                      <w:rFonts w:ascii="Times New Roman" w:hAnsi="Times New Roman" w:cs="Times New Roman"/>
                      <w:color w:val="FF0000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t>ссылка на издание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 (или с учетом вклада каждого из участников, из числа профессорско-преподавательского состава.)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11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Призовые места выпускной квалификационной работы (ВКР) по образовательным программам высшего образования во всероссийских конкурсах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Предоставление одного из подтверждающих документов: диплом, приказ, распоряжение, или т.п.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За каждую ВКР баллы делятся пропорционально между руководителем и консультантом или с учетом вклада каждого из участников, из числа профессорско-преподавательского состава.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12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Руководство выпускной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 xml:space="preserve">квалификационной работой (ВКР) по образовательным программам высшего образования,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выполняемых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в формате «ВКР как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стартап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>»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Предоставление одного из подтверждающих документов: приказ,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распоряжение, служебная записка или т.п.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За каждую ВКР баллы делятся пропорционально между руководителем и консультантом или с учетом вклада каждого из участников, из числа профессорско-преподавательского состава.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Подготовка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для участия в: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4"/>
                    </w:numPr>
                    <w:tabs>
                      <w:tab w:val="left" w:pos="0"/>
                      <w:tab w:val="left" w:pos="240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олимпиадах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>;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1"/>
                    </w:numPr>
                    <w:tabs>
                      <w:tab w:val="left" w:pos="0"/>
                      <w:tab w:val="left" w:pos="240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научных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конкурсах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>;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1"/>
                    </w:numPr>
                    <w:tabs>
                      <w:tab w:val="left" w:pos="0"/>
                      <w:tab w:val="left" w:pos="240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конкурсах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на получение именных стипендий (кроме конкурса КГУ);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1"/>
                    </w:numPr>
                    <w:tabs>
                      <w:tab w:val="left" w:pos="0"/>
                      <w:tab w:val="left" w:pos="240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грантов;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1"/>
                    </w:numPr>
                    <w:tabs>
                      <w:tab w:val="left" w:pos="0"/>
                      <w:tab w:val="left" w:pos="240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выставках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>;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1"/>
                    </w:numPr>
                    <w:tabs>
                      <w:tab w:val="left" w:pos="0"/>
                      <w:tab w:val="left" w:pos="240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конференциях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российского и международного уровня: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5"/>
                    </w:numPr>
                    <w:tabs>
                      <w:tab w:val="left" w:pos="0"/>
                      <w:tab w:val="left" w:pos="384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победитель /призер международного уровня;</w:t>
                  </w:r>
                </w:p>
                <w:p w:rsidR="003C4B99" w:rsidRDefault="003C4B99" w:rsidP="003C4B99">
                  <w:pPr>
                    <w:pStyle w:val="1"/>
                    <w:framePr w:hSpace="180" w:wrap="around" w:vAnchor="page" w:hAnchor="margin" w:xAlign="center" w:y="901"/>
                    <w:numPr>
                      <w:ilvl w:val="0"/>
                      <w:numId w:val="12"/>
                    </w:numPr>
                    <w:tabs>
                      <w:tab w:val="left" w:pos="0"/>
                      <w:tab w:val="left" w:pos="384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победитель /призер национального уровня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За каждое мероприятие.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Предоставление подтверждающих документов: диплом, сертификат участника, приказ, распоряжение, служебная записка или т.п.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при наличии несколько руководителей или с учетом вклада каждого из участников, из числа профессорско-преподавательского состава.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710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Имиджевая</w:t>
                  </w:r>
                  <w:proofErr w:type="spellEnd"/>
                  <w:r>
                    <w:rPr>
                      <w:szCs w:val="28"/>
                    </w:rPr>
                    <w:t xml:space="preserve"> деятельность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14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Участие в работе диссертационных советов (в качестве члена совета):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внутренний;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внешний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за каждый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диссовет</w:t>
                  </w:r>
                  <w:proofErr w:type="spellEnd"/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Приказ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Минобрнауки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(с сайта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диссовета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>)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15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Членство в экспертных или общественных советах и комиссиях городского, областного или федерального уровня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Приказ 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скрин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новости с указанием лица (подтверждение участия)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16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Участие в работе комиссий по проверке результатов ЕГЭ в качестве: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председателя;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эксперта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Приказ Департамента образования и науки Курганской области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17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Участие в проверке работ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муниципальных, региональных этапов Всероссийских олимпиад школьников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1 (за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каждую олимпиаду)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Приказ Департамента образования и науки Курганской области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или его структурного подразделения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710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lastRenderedPageBreak/>
                    <w:t>Профориентационная</w:t>
                  </w:r>
                  <w:proofErr w:type="spellEnd"/>
                  <w:r>
                    <w:rPr>
                      <w:szCs w:val="28"/>
                    </w:rPr>
                    <w:t xml:space="preserve"> деятельность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18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Участие в проведении Дня открытых дверей образовательной организации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Распоряжение ответственного за мероприятие (приемной комиссии, директора института) с 01.09.2021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19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Участие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профориентационных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мероприятиях в образовательных учреждениях (встреча с классом, родительское собрание, экскурсии и прочее)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(за мероприятие)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Распоряжение ответственного за мероприятие (приемной комиссии, директора института) с 01.09.2021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trHeight w:val="1269"/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20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Научно-популярные мероприятия: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организация;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проведение;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онлайн-лекция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Скрин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новости в сети «Интернет» или распоряжение руководителя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21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Работа по подготовке учащихся к поступлению в вуз: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работа на подготовительных курсах в КГУ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 (за каждый год)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Представление руководителя центра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довузовской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подготовки/ руководителя образовательной организации (учитывается каждая дисциплина)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проведение олимпиад или конкурсов на базе КГУ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Представление, распоряжение директора института или начальника отдела «Приемная комиссия» / руководителя образовательной организации.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Приказ о проведении олимпиады и назначении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ответственных</w:t>
                  </w:r>
                  <w:proofErr w:type="gramEnd"/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22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Разработка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медиаконтента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в рамках работы приемной комиссии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Представление директора института, заверенное начальником отдела «Приемная комиссия» / руководителем образовательной организации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 или с учетом вклада каждого из участников, из числа профессорско-преподавательского состава.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sz w:val="22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710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Молодежная политика и воспитательная деятельность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trHeight w:val="349"/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23</w:t>
                  </w:r>
                </w:p>
              </w:tc>
              <w:tc>
                <w:tcPr>
                  <w:tcW w:w="33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Проектная деятельность по направлению «Молодежная п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о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lastRenderedPageBreak/>
                    <w:t>литика»</w:t>
                  </w:r>
                </w:p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- подготовка, оформление и п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о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дача заявки на получение гранта</w:t>
                  </w:r>
                </w:p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- подготовка, оформление, под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а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ча заявки на получение гранта, сопровождение, реализация гранта и подготовка отчетной документации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Заполненная форма заявки с электронным подтверждением об участии в конкурсе грантов (скриншот из личного кабинета)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Документ, подтверждающий получение гранта, реализацию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проекта и подготовку отчетной документации (приказ, распоряжение)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lastRenderedPageBreak/>
                    <w:t>24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 xml:space="preserve">Сопровождение обучающихся в программах, проектах, форумах </w:t>
                  </w:r>
                  <w:proofErr w:type="spellStart"/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Росмолодежи</w:t>
                  </w:r>
                  <w:proofErr w:type="spellEnd"/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, Российского о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б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щества Знание, Россия – страна возможностей, Министерства науки и высшего образования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Документальное подтверждение (скриншот личного кабинета обучающегося, с заполненной заявкой и указанием наставника проекта)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Участие в качестве лекторов, экспертов мероприятий, фор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у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мов и событий молодежной п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о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 xml:space="preserve">литики </w:t>
                  </w:r>
                  <w:proofErr w:type="gramStart"/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для</w:t>
                  </w:r>
                  <w:proofErr w:type="gramEnd"/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 xml:space="preserve"> обучающихся (кроме мероприятий, указанных в пун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к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те 20)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Документ, подтверждающий участие (приказ, распоряжение, грамота, благодарственное письмо) в </w:t>
                  </w:r>
                  <w:r>
                    <w:rPr>
                      <w:rStyle w:val="normaltextrun"/>
                      <w:sz w:val="22"/>
                    </w:rPr>
                    <w:t>качестве лекторов, экспертов или скриншот/ссылка публикации материалов о проведенном выступлении в социальных сетях института/кафедры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paragraph"/>
                    <w:framePr w:hSpace="180" w:wrap="around" w:vAnchor="page" w:hAnchor="margin" w:xAlign="center" w:y="901"/>
                    <w:spacing w:before="0" w:after="0"/>
                    <w:jc w:val="both"/>
                  </w:pP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Работа в качестве эксперта и (или) члена жюри, судьи в пр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о</w:t>
                  </w:r>
                  <w:r>
                    <w:rPr>
                      <w:rStyle w:val="normaltextrun"/>
                      <w:rFonts w:eastAsia="Calibri"/>
                      <w:sz w:val="22"/>
                      <w:szCs w:val="22"/>
                    </w:rPr>
                    <w:t>светительских, культурно-массовых, гражданско-патриотических, физкультурно-спортивных и физкультурно-оздоровительных мероприятиях университета и более высоких уровней (кроме мероприятий, указанных в пункте 15)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Документ, подтверждающий участие (приказ, распоряжение, грамота, благодарственное письмо) в </w:t>
                  </w:r>
                  <w:r>
                    <w:rPr>
                      <w:rStyle w:val="normaltextrun"/>
                      <w:sz w:val="22"/>
                    </w:rPr>
                    <w:t>качестве эксперта, члена жюри, судьи или скриншот/ ссылка на опубликованные материалы о деятельности сотрудника в социальных сетях университета/института/кафедры или иных организаций городского и регионального уровня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27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Руководство работой студенческих объединений, клубов, активов, постоянно действующих на территории образовательной организации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Приказ или распоряжение образовательной организации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28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Согласованные с руководителем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 xml:space="preserve">учебного подразделения организация и проведение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творческих мероприятий, фестивалей, конкурсов, акций, выставок, экскурсий, спортивных, физкультурно-оздоровительных, профилактических и других событий: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уровень кафедры, института или университета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- региональный, всероссийский, международный уровень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Документ, подтверждающий курирование деятельности </w:t>
                  </w: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студенческих объединений (приказ/распоряжение) соответствующего уровня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710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Научная деятельность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29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 xml:space="preserve">Публикации в изданиях, индексируемых в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базах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 xml:space="preserve"> данных, с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аффилиацией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 xml:space="preserve"> КГУ:</w:t>
                  </w:r>
                </w:p>
              </w:tc>
              <w:tc>
                <w:tcPr>
                  <w:tcW w:w="4474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Приложение 4 к Положению о порядке замещения должностей педагогических работников, относящихся к профессорско-преподавательскому составу, в ФГБОУ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«Курганский государственный университет»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Статья учитывается 1 раз в одной базе, балл начисляется за каждую статью, но пропорционально количеству авторов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Pr="00E3076E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lang w:val="en-US"/>
                    </w:rPr>
                    <w:t xml:space="preserve">Web of Science/Scopus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lang w:val="en-US"/>
                    </w:rPr>
                    <w:t xml:space="preserve"> 2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квартиля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  <w:lang w:val="en-U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Pr="00E3076E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lang w:val="en-US"/>
                    </w:rPr>
                    <w:t xml:space="preserve">Web of Science/Scopus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прочих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  <w:lang w:val="en-U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ВАК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РИНЦ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30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Организация и проведение научных конференций:</w:t>
                  </w:r>
                </w:p>
              </w:tc>
              <w:tc>
                <w:tcPr>
                  <w:tcW w:w="4474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Приказ о проведении научного мероприятия (оргкомитет)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Международных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, Всероссийских с международным участием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Национальных, всероссийских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31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 xml:space="preserve">Индекс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Хирша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 xml:space="preserve"> преподавателя по публикациям в РИНЦ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 равен индексу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Скриншот страницы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elibrary</w:t>
                  </w:r>
                  <w:proofErr w:type="spellEnd"/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32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 xml:space="preserve">Монографии, 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2"/>
                    </w:rPr>
                    <w:t xml:space="preserve">объемом не менее 10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Cs/>
                      <w:sz w:val="22"/>
                    </w:rPr>
                    <w:t>п.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iCs/>
                      <w:sz w:val="22"/>
                    </w:rPr>
                    <w:t>л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iCs/>
                      <w:sz w:val="22"/>
                    </w:rPr>
                    <w:t>.: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Монографии рецензируемые. Баллы распределяются пропорционально количеству авторов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33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Руководство подготовкой научных кадров</w:t>
                  </w:r>
                </w:p>
              </w:tc>
              <w:tc>
                <w:tcPr>
                  <w:tcW w:w="4474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За каждого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докторов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- кандидатов,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PhD</w:t>
                  </w:r>
                  <w:proofErr w:type="spellEnd"/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аспирантов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Приказ о закреплении научного руководителя (отдел аспирантуры)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34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Полученные охранные документы на объекты интеллектуальной собственности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-патент на изобретение / полезную модель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-ноу-хау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-свидетельство на ПЭВМ и БД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Охранный документ (Баллы делятся пропорционально между соавторами)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Коммерциализация полученных результатов интеллектуальной деятельности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Документальное подтверждение (договор о передаче прав, МИП и др.)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Баллы делятся пропорционально между соавторами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35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Совокупный объем финансирования научных проектов, в которых принял участие преподаватель в качестве руководителя или исполнителя</w:t>
                  </w:r>
                </w:p>
              </w:tc>
              <w:tc>
                <w:tcPr>
                  <w:tcW w:w="4474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Справка из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ОНИОКРиИ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/ образовательной организации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стоимостью до 1 млн. руб.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- стоимостью от 1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млн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руб.  до 5 млн. руб.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- стоимостью от 5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млн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 руб.  до 10 млн. руб.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стоимостью 10 млн. руб.  и выше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12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Присвоение преподавателю ученой степени: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кандидата наук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доктора наук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Приказ (диплом) о присвоении ученой степени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(показатель учитывается за период действия последнего трудового договора)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2"/>
                      <w:lang w:val="en-US"/>
                    </w:rPr>
                    <w:t>37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2"/>
                    </w:rPr>
                    <w:t>Руководство научной темой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 xml:space="preserve">Справка из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</w:rPr>
                    <w:t>ОНИОКРиИ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</w:rPr>
                    <w:t xml:space="preserve"> / образовательной организации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38</w:t>
                  </w: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2"/>
                    </w:rPr>
                    <w:t>Получение преподавателем ученого звания:</w:t>
                  </w:r>
                </w:p>
              </w:tc>
              <w:tc>
                <w:tcPr>
                  <w:tcW w:w="4474" w:type="dxa"/>
                  <w:gridSpan w:val="3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644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Приказ (диплом) о присвоении ученого звания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(показатель учитывается за период действия последнего трудового договора)</w:t>
                  </w: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доцента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  <w:tc>
                <w:tcPr>
                  <w:tcW w:w="33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- профессора</w:t>
                  </w:r>
                </w:p>
              </w:tc>
              <w:tc>
                <w:tcPr>
                  <w:tcW w:w="16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64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4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framePr w:hSpace="180" w:wrap="around" w:vAnchor="page" w:hAnchor="margin" w:xAlign="center" w:y="901"/>
                    <w:rPr>
                      <w:rFonts w:hint="eastAsia"/>
                    </w:rPr>
                  </w:pPr>
                </w:p>
              </w:tc>
            </w:tr>
            <w:tr w:rsidR="003C4B99" w:rsidTr="00FF296F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4710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 w:line="232" w:lineRule="auto"/>
                    <w:ind w:firstLine="454"/>
                    <w:rPr>
                      <w:rFonts w:ascii="TCMPX+TimesNewRomanPSMT" w:eastAsia="TCMPX+TimesNewRomanPSMT" w:hAnsi="TCMPX+TimesNewRomanPSMT" w:cs="TCMPX+TimesNewRomanPSMT"/>
                      <w:color w:val="000000"/>
                      <w:szCs w:val="28"/>
                    </w:rPr>
                  </w:pP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 w:line="232" w:lineRule="auto"/>
                    <w:ind w:firstLine="454"/>
                  </w:pPr>
                  <w:r>
                    <w:rPr>
                      <w:rFonts w:ascii="TCMPX+TimesNewRomanPSMT" w:eastAsia="TCMPX+TimesNewRomanPSMT" w:hAnsi="TCMPX+TimesNewRomanPSMT" w:cs="TCMPX+TimesNewRomanPSMT"/>
                      <w:color w:val="000000"/>
                      <w:szCs w:val="28"/>
                    </w:rPr>
                    <w:t>__________/___________________________________________________________________/</w:t>
                  </w:r>
                  <w:r>
                    <w:rPr>
                      <w:rFonts w:ascii="TCMPX+TimesNewRomanPSMT" w:eastAsia="TCMPX+TimesNewRomanPSMT" w:hAnsi="TCMPX+TimesNewRomanPSMT" w:cs="TCMPX+TimesNewRomanPSMT"/>
                      <w:color w:val="000000"/>
                      <w:szCs w:val="28"/>
                      <w:vertAlign w:val="superscript"/>
                    </w:rPr>
                    <w:t xml:space="preserve">            «____»_______________20___ г.</w:t>
                  </w:r>
                </w:p>
                <w:p w:rsidR="003C4B99" w:rsidRDefault="003C4B99" w:rsidP="003C4B99">
                  <w:pPr>
                    <w:pStyle w:val="Standard"/>
                    <w:framePr w:hSpace="180" w:wrap="around" w:vAnchor="page" w:hAnchor="margin" w:xAlign="center" w:y="901"/>
                    <w:spacing w:after="0" w:line="232" w:lineRule="auto"/>
                    <w:jc w:val="both"/>
                    <w:rPr>
                      <w:rFonts w:ascii="TCMPX+TimesNewRomanPSMT" w:eastAsia="TCMPX+TimesNewRomanPSMT" w:hAnsi="TCMPX+TimesNewRomanPSMT" w:cs="TCMPX+TimesNewRomanPSMT"/>
                      <w:color w:val="000000"/>
                      <w:szCs w:val="28"/>
                      <w:vertAlign w:val="superscript"/>
                    </w:rPr>
                  </w:pPr>
                  <w:r>
                    <w:rPr>
                      <w:rFonts w:ascii="TCMPX+TimesNewRomanPSMT" w:eastAsia="TCMPX+TimesNewRomanPSMT" w:hAnsi="TCMPX+TimesNewRomanPSMT" w:cs="TCMPX+TimesNewRomanPSMT"/>
                      <w:color w:val="000000"/>
                      <w:szCs w:val="28"/>
                      <w:vertAlign w:val="superscript"/>
                    </w:rPr>
                    <w:t xml:space="preserve">                   (подпись)                                                                    Ф.И.О. (последнее при наличии)</w:t>
                  </w:r>
                </w:p>
              </w:tc>
            </w:tr>
          </w:tbl>
          <w:p w:rsidR="003D4CEB" w:rsidRDefault="003D4CEB" w:rsidP="003C4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D31" w:rsidRPr="00292DD2" w:rsidRDefault="003C4B99" w:rsidP="003C4B99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</w:p>
    <w:sectPr w:rsidR="00251D31" w:rsidRPr="00292DD2" w:rsidSect="00A529D0">
      <w:footerReference w:type="default" r:id="rId9"/>
      <w:pgSz w:w="16838" w:h="11906" w:orient="landscape"/>
      <w:pgMar w:top="851" w:right="1134" w:bottom="1134" w:left="1134" w:header="709" w:footer="4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86" w:rsidRDefault="00664186" w:rsidP="00CD7448">
      <w:pPr>
        <w:spacing w:after="0" w:line="240" w:lineRule="auto"/>
      </w:pPr>
      <w:r>
        <w:separator/>
      </w:r>
    </w:p>
  </w:endnote>
  <w:endnote w:type="continuationSeparator" w:id="0">
    <w:p w:rsidR="00664186" w:rsidRDefault="00664186" w:rsidP="00CD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CMPX+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91382"/>
      <w:docPartObj>
        <w:docPartGallery w:val="Page Numbers (Bottom of Page)"/>
        <w:docPartUnique/>
      </w:docPartObj>
    </w:sdtPr>
    <w:sdtEndPr/>
    <w:sdtContent>
      <w:p w:rsidR="00A529D0" w:rsidRDefault="00A529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B99">
          <w:rPr>
            <w:noProof/>
          </w:rPr>
          <w:t>8</w:t>
        </w:r>
        <w:r>
          <w:fldChar w:fldCharType="end"/>
        </w:r>
      </w:p>
    </w:sdtContent>
  </w:sdt>
  <w:p w:rsidR="00A529D0" w:rsidRDefault="00A529D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86" w:rsidRDefault="00664186" w:rsidP="00CD7448">
      <w:pPr>
        <w:spacing w:after="0" w:line="240" w:lineRule="auto"/>
      </w:pPr>
      <w:r>
        <w:separator/>
      </w:r>
    </w:p>
  </w:footnote>
  <w:footnote w:type="continuationSeparator" w:id="0">
    <w:p w:rsidR="00664186" w:rsidRDefault="00664186" w:rsidP="00CD7448">
      <w:pPr>
        <w:spacing w:after="0" w:line="240" w:lineRule="auto"/>
      </w:pPr>
      <w:r>
        <w:continuationSeparator/>
      </w:r>
    </w:p>
  </w:footnote>
  <w:footnote w:id="1">
    <w:p w:rsidR="003C4B99" w:rsidRDefault="003C4B99" w:rsidP="003C4B99">
      <w:pPr>
        <w:pStyle w:val="Footnote"/>
      </w:pPr>
      <w:r>
        <w:rPr>
          <w:rStyle w:val="ac"/>
        </w:rPr>
        <w:footnoteRef/>
      </w:r>
      <w:r>
        <w:t>Отчет оформляется по желанию претендента. В случае его оформления к нему прилагаются подтверждающие документы.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168"/>
    <w:multiLevelType w:val="hybridMultilevel"/>
    <w:tmpl w:val="46E2A76A"/>
    <w:lvl w:ilvl="0" w:tplc="7138D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14A4"/>
    <w:multiLevelType w:val="multilevel"/>
    <w:tmpl w:val="0B3081C6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49419B"/>
    <w:multiLevelType w:val="multilevel"/>
    <w:tmpl w:val="24E49EE2"/>
    <w:styleLink w:val="WWNum1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7AA30B0"/>
    <w:multiLevelType w:val="hybridMultilevel"/>
    <w:tmpl w:val="7AA8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A1C17"/>
    <w:multiLevelType w:val="hybridMultilevel"/>
    <w:tmpl w:val="C6902E4E"/>
    <w:lvl w:ilvl="0" w:tplc="D2E8AC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C3491"/>
    <w:multiLevelType w:val="hybridMultilevel"/>
    <w:tmpl w:val="C156A7BC"/>
    <w:lvl w:ilvl="0" w:tplc="7138D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B366E"/>
    <w:multiLevelType w:val="hybridMultilevel"/>
    <w:tmpl w:val="8B6E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11E4"/>
    <w:multiLevelType w:val="hybridMultilevel"/>
    <w:tmpl w:val="3126DC84"/>
    <w:lvl w:ilvl="0" w:tplc="7138D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84C90"/>
    <w:multiLevelType w:val="hybridMultilevel"/>
    <w:tmpl w:val="D63E9946"/>
    <w:lvl w:ilvl="0" w:tplc="7138D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61C2E"/>
    <w:multiLevelType w:val="hybridMultilevel"/>
    <w:tmpl w:val="5936E40E"/>
    <w:lvl w:ilvl="0" w:tplc="A08EF7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91778"/>
    <w:multiLevelType w:val="multilevel"/>
    <w:tmpl w:val="14068894"/>
    <w:styleLink w:val="WWNum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117A6C"/>
    <w:multiLevelType w:val="hybridMultilevel"/>
    <w:tmpl w:val="C49E7DDE"/>
    <w:lvl w:ilvl="0" w:tplc="7138D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2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D1"/>
    <w:rsid w:val="00017FD4"/>
    <w:rsid w:val="000265F5"/>
    <w:rsid w:val="000367F3"/>
    <w:rsid w:val="00046063"/>
    <w:rsid w:val="00054B0E"/>
    <w:rsid w:val="00060561"/>
    <w:rsid w:val="000875C8"/>
    <w:rsid w:val="000A0495"/>
    <w:rsid w:val="0012142B"/>
    <w:rsid w:val="00124D3C"/>
    <w:rsid w:val="001749E7"/>
    <w:rsid w:val="00185203"/>
    <w:rsid w:val="00194D7E"/>
    <w:rsid w:val="001A5118"/>
    <w:rsid w:val="001E4C84"/>
    <w:rsid w:val="001F58DB"/>
    <w:rsid w:val="001F6CCF"/>
    <w:rsid w:val="00201150"/>
    <w:rsid w:val="0022408A"/>
    <w:rsid w:val="002517F8"/>
    <w:rsid w:val="00251D31"/>
    <w:rsid w:val="0026489B"/>
    <w:rsid w:val="00292DD2"/>
    <w:rsid w:val="002B3612"/>
    <w:rsid w:val="002D1EAD"/>
    <w:rsid w:val="002E2AEE"/>
    <w:rsid w:val="0033711C"/>
    <w:rsid w:val="00341A5C"/>
    <w:rsid w:val="00350053"/>
    <w:rsid w:val="00353624"/>
    <w:rsid w:val="00353B48"/>
    <w:rsid w:val="00374984"/>
    <w:rsid w:val="003773EB"/>
    <w:rsid w:val="003C4B99"/>
    <w:rsid w:val="003D4CEB"/>
    <w:rsid w:val="00446A5B"/>
    <w:rsid w:val="00493280"/>
    <w:rsid w:val="004A749E"/>
    <w:rsid w:val="004B4404"/>
    <w:rsid w:val="0053449D"/>
    <w:rsid w:val="005A3759"/>
    <w:rsid w:val="005A7D38"/>
    <w:rsid w:val="005B1730"/>
    <w:rsid w:val="005C5EFC"/>
    <w:rsid w:val="005D21AD"/>
    <w:rsid w:val="005D6FEC"/>
    <w:rsid w:val="00610CCB"/>
    <w:rsid w:val="00641C74"/>
    <w:rsid w:val="00651833"/>
    <w:rsid w:val="00664186"/>
    <w:rsid w:val="00683830"/>
    <w:rsid w:val="006A3A5F"/>
    <w:rsid w:val="006C0795"/>
    <w:rsid w:val="006C1DF4"/>
    <w:rsid w:val="006D0BC9"/>
    <w:rsid w:val="006F1E03"/>
    <w:rsid w:val="007072D7"/>
    <w:rsid w:val="007449EA"/>
    <w:rsid w:val="007B2184"/>
    <w:rsid w:val="007D6CE6"/>
    <w:rsid w:val="007E1EDA"/>
    <w:rsid w:val="007F4C61"/>
    <w:rsid w:val="00803ABE"/>
    <w:rsid w:val="00844DE2"/>
    <w:rsid w:val="00863E2A"/>
    <w:rsid w:val="00867DFC"/>
    <w:rsid w:val="00897A60"/>
    <w:rsid w:val="008B0584"/>
    <w:rsid w:val="008B3879"/>
    <w:rsid w:val="008E62CE"/>
    <w:rsid w:val="00935103"/>
    <w:rsid w:val="00951800"/>
    <w:rsid w:val="00984C2C"/>
    <w:rsid w:val="009B045B"/>
    <w:rsid w:val="009C56D6"/>
    <w:rsid w:val="009D1171"/>
    <w:rsid w:val="00A10533"/>
    <w:rsid w:val="00A106EB"/>
    <w:rsid w:val="00A14D3E"/>
    <w:rsid w:val="00A3299E"/>
    <w:rsid w:val="00A529D0"/>
    <w:rsid w:val="00A601D4"/>
    <w:rsid w:val="00A65D55"/>
    <w:rsid w:val="00A8492C"/>
    <w:rsid w:val="00AD4BF3"/>
    <w:rsid w:val="00AE63EC"/>
    <w:rsid w:val="00B52244"/>
    <w:rsid w:val="00B66581"/>
    <w:rsid w:val="00B7069D"/>
    <w:rsid w:val="00B87C42"/>
    <w:rsid w:val="00BB485F"/>
    <w:rsid w:val="00BC49E8"/>
    <w:rsid w:val="00C16270"/>
    <w:rsid w:val="00C30EA5"/>
    <w:rsid w:val="00C376C7"/>
    <w:rsid w:val="00C6477A"/>
    <w:rsid w:val="00C77D0C"/>
    <w:rsid w:val="00C94845"/>
    <w:rsid w:val="00CA7DC1"/>
    <w:rsid w:val="00CB41B8"/>
    <w:rsid w:val="00CB7A42"/>
    <w:rsid w:val="00CD7448"/>
    <w:rsid w:val="00CF4FFC"/>
    <w:rsid w:val="00D10B66"/>
    <w:rsid w:val="00D1790D"/>
    <w:rsid w:val="00D27A41"/>
    <w:rsid w:val="00D47F29"/>
    <w:rsid w:val="00D53598"/>
    <w:rsid w:val="00D55C0C"/>
    <w:rsid w:val="00D80093"/>
    <w:rsid w:val="00DB5A25"/>
    <w:rsid w:val="00DB5BC4"/>
    <w:rsid w:val="00DC263C"/>
    <w:rsid w:val="00DF25F9"/>
    <w:rsid w:val="00E0565E"/>
    <w:rsid w:val="00E0748F"/>
    <w:rsid w:val="00E30FF5"/>
    <w:rsid w:val="00E64A9D"/>
    <w:rsid w:val="00E873BB"/>
    <w:rsid w:val="00E96646"/>
    <w:rsid w:val="00EE0DD8"/>
    <w:rsid w:val="00F001C6"/>
    <w:rsid w:val="00F01B05"/>
    <w:rsid w:val="00F11BD1"/>
    <w:rsid w:val="00F728DD"/>
    <w:rsid w:val="00F72FA4"/>
    <w:rsid w:val="00F85BCF"/>
    <w:rsid w:val="00F87AAE"/>
    <w:rsid w:val="00FA125F"/>
    <w:rsid w:val="00FA5D8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D31"/>
    <w:pPr>
      <w:ind w:left="720"/>
      <w:contextualSpacing/>
    </w:pPr>
  </w:style>
  <w:style w:type="paragraph" w:customStyle="1" w:styleId="paragraph">
    <w:name w:val="paragraph"/>
    <w:basedOn w:val="a"/>
    <w:rsid w:val="0037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773EB"/>
  </w:style>
  <w:style w:type="character" w:customStyle="1" w:styleId="eop">
    <w:name w:val="eop"/>
    <w:basedOn w:val="a0"/>
    <w:rsid w:val="003773EB"/>
  </w:style>
  <w:style w:type="paragraph" w:styleId="a5">
    <w:name w:val="Balloon Text"/>
    <w:basedOn w:val="a"/>
    <w:link w:val="a6"/>
    <w:uiPriority w:val="99"/>
    <w:semiHidden/>
    <w:unhideWhenUsed/>
    <w:rsid w:val="00E0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448"/>
  </w:style>
  <w:style w:type="paragraph" w:styleId="a9">
    <w:name w:val="footer"/>
    <w:basedOn w:val="a"/>
    <w:link w:val="aa"/>
    <w:uiPriority w:val="99"/>
    <w:unhideWhenUsed/>
    <w:rsid w:val="00CD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448"/>
  </w:style>
  <w:style w:type="paragraph" w:customStyle="1" w:styleId="Standard">
    <w:name w:val="Standard"/>
    <w:rsid w:val="003C4B99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  <w:style w:type="paragraph" w:customStyle="1" w:styleId="ab">
    <w:name w:val="!р Приложение"/>
    <w:basedOn w:val="Standard"/>
    <w:rsid w:val="003C4B99"/>
    <w:pPr>
      <w:ind w:left="4819"/>
    </w:pPr>
  </w:style>
  <w:style w:type="paragraph" w:customStyle="1" w:styleId="Footnote">
    <w:name w:val="Footnote"/>
    <w:basedOn w:val="Standard"/>
    <w:rsid w:val="003C4B99"/>
    <w:pPr>
      <w:suppressLineNumbers/>
      <w:ind w:left="340" w:hanging="340"/>
    </w:pPr>
    <w:rPr>
      <w:sz w:val="20"/>
      <w:szCs w:val="20"/>
    </w:rPr>
  </w:style>
  <w:style w:type="paragraph" w:customStyle="1" w:styleId="1">
    <w:name w:val="Абзац списка1"/>
    <w:basedOn w:val="Standard"/>
    <w:rsid w:val="003C4B99"/>
  </w:style>
  <w:style w:type="numbering" w:customStyle="1" w:styleId="WWNum1a">
    <w:name w:val="WWNum1a"/>
    <w:basedOn w:val="a2"/>
    <w:rsid w:val="003C4B99"/>
    <w:pPr>
      <w:numPr>
        <w:numId w:val="10"/>
      </w:numPr>
    </w:pPr>
  </w:style>
  <w:style w:type="numbering" w:customStyle="1" w:styleId="WWNum2a">
    <w:name w:val="WWNum2a"/>
    <w:basedOn w:val="a2"/>
    <w:rsid w:val="003C4B99"/>
    <w:pPr>
      <w:numPr>
        <w:numId w:val="11"/>
      </w:numPr>
    </w:pPr>
  </w:style>
  <w:style w:type="numbering" w:customStyle="1" w:styleId="WWNum3">
    <w:name w:val="WWNum3"/>
    <w:basedOn w:val="a2"/>
    <w:rsid w:val="003C4B99"/>
    <w:pPr>
      <w:numPr>
        <w:numId w:val="12"/>
      </w:numPr>
    </w:pPr>
  </w:style>
  <w:style w:type="character" w:styleId="ac">
    <w:name w:val="footnote reference"/>
    <w:uiPriority w:val="99"/>
    <w:semiHidden/>
    <w:unhideWhenUsed/>
    <w:rsid w:val="003C4B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D31"/>
    <w:pPr>
      <w:ind w:left="720"/>
      <w:contextualSpacing/>
    </w:pPr>
  </w:style>
  <w:style w:type="paragraph" w:customStyle="1" w:styleId="paragraph">
    <w:name w:val="paragraph"/>
    <w:basedOn w:val="a"/>
    <w:rsid w:val="0037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773EB"/>
  </w:style>
  <w:style w:type="character" w:customStyle="1" w:styleId="eop">
    <w:name w:val="eop"/>
    <w:basedOn w:val="a0"/>
    <w:rsid w:val="003773EB"/>
  </w:style>
  <w:style w:type="paragraph" w:styleId="a5">
    <w:name w:val="Balloon Text"/>
    <w:basedOn w:val="a"/>
    <w:link w:val="a6"/>
    <w:uiPriority w:val="99"/>
    <w:semiHidden/>
    <w:unhideWhenUsed/>
    <w:rsid w:val="00E0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7448"/>
  </w:style>
  <w:style w:type="paragraph" w:styleId="a9">
    <w:name w:val="footer"/>
    <w:basedOn w:val="a"/>
    <w:link w:val="aa"/>
    <w:uiPriority w:val="99"/>
    <w:unhideWhenUsed/>
    <w:rsid w:val="00CD7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7448"/>
  </w:style>
  <w:style w:type="paragraph" w:customStyle="1" w:styleId="Standard">
    <w:name w:val="Standard"/>
    <w:rsid w:val="003C4B99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  <w:style w:type="paragraph" w:customStyle="1" w:styleId="ab">
    <w:name w:val="!р Приложение"/>
    <w:basedOn w:val="Standard"/>
    <w:rsid w:val="003C4B99"/>
    <w:pPr>
      <w:ind w:left="4819"/>
    </w:pPr>
  </w:style>
  <w:style w:type="paragraph" w:customStyle="1" w:styleId="Footnote">
    <w:name w:val="Footnote"/>
    <w:basedOn w:val="Standard"/>
    <w:rsid w:val="003C4B99"/>
    <w:pPr>
      <w:suppressLineNumbers/>
      <w:ind w:left="340" w:hanging="340"/>
    </w:pPr>
    <w:rPr>
      <w:sz w:val="20"/>
      <w:szCs w:val="20"/>
    </w:rPr>
  </w:style>
  <w:style w:type="paragraph" w:customStyle="1" w:styleId="1">
    <w:name w:val="Абзац списка1"/>
    <w:basedOn w:val="Standard"/>
    <w:rsid w:val="003C4B99"/>
  </w:style>
  <w:style w:type="numbering" w:customStyle="1" w:styleId="WWNum1a">
    <w:name w:val="WWNum1a"/>
    <w:basedOn w:val="a2"/>
    <w:rsid w:val="003C4B99"/>
    <w:pPr>
      <w:numPr>
        <w:numId w:val="10"/>
      </w:numPr>
    </w:pPr>
  </w:style>
  <w:style w:type="numbering" w:customStyle="1" w:styleId="WWNum2a">
    <w:name w:val="WWNum2a"/>
    <w:basedOn w:val="a2"/>
    <w:rsid w:val="003C4B99"/>
    <w:pPr>
      <w:numPr>
        <w:numId w:val="11"/>
      </w:numPr>
    </w:pPr>
  </w:style>
  <w:style w:type="numbering" w:customStyle="1" w:styleId="WWNum3">
    <w:name w:val="WWNum3"/>
    <w:basedOn w:val="a2"/>
    <w:rsid w:val="003C4B99"/>
    <w:pPr>
      <w:numPr>
        <w:numId w:val="12"/>
      </w:numPr>
    </w:pPr>
  </w:style>
  <w:style w:type="character" w:styleId="ac">
    <w:name w:val="footnote reference"/>
    <w:uiPriority w:val="99"/>
    <w:semiHidden/>
    <w:unhideWhenUsed/>
    <w:rsid w:val="003C4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CF2C-2B62-4660-9E7F-931BF314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Марина Андреева</cp:lastModifiedBy>
  <cp:revision>8</cp:revision>
  <cp:lastPrinted>2022-03-24T11:35:00Z</cp:lastPrinted>
  <dcterms:created xsi:type="dcterms:W3CDTF">2022-03-15T10:46:00Z</dcterms:created>
  <dcterms:modified xsi:type="dcterms:W3CDTF">2024-09-30T03:41:00Z</dcterms:modified>
</cp:coreProperties>
</file>